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D4" w:rsidRPr="000C6FD4" w:rsidRDefault="000C6FD4" w:rsidP="000C6FD4">
      <w:pPr>
        <w:spacing w:after="300" w:line="240" w:lineRule="auto"/>
        <w:outlineLvl w:val="0"/>
        <w:rPr>
          <w:rFonts w:ascii="inherit" w:eastAsia="Times New Roman" w:hAnsi="inherit" w:cs="Arial"/>
          <w:color w:val="43474D"/>
          <w:kern w:val="36"/>
          <w:sz w:val="48"/>
          <w:szCs w:val="48"/>
          <w:lang w:eastAsia="de-DE"/>
        </w:rPr>
      </w:pPr>
      <w:r w:rsidRPr="000C6FD4">
        <w:rPr>
          <w:rFonts w:ascii="inherit" w:eastAsia="Times New Roman" w:hAnsi="inherit" w:cs="Arial"/>
          <w:color w:val="43474D"/>
          <w:kern w:val="36"/>
          <w:sz w:val="48"/>
          <w:szCs w:val="48"/>
          <w:lang w:eastAsia="de-DE"/>
        </w:rPr>
        <w:t>Hauscurriculum für die Einführungsphase</w:t>
      </w:r>
      <w:r>
        <w:rPr>
          <w:rFonts w:ascii="inherit" w:eastAsia="Times New Roman" w:hAnsi="inherit" w:cs="Arial"/>
          <w:color w:val="43474D"/>
          <w:kern w:val="36"/>
          <w:sz w:val="48"/>
          <w:szCs w:val="48"/>
          <w:lang w:eastAsia="de-DE"/>
        </w:rPr>
        <w:t xml:space="preserve"> Französisch</w:t>
      </w:r>
      <w:bookmarkStart w:id="0" w:name="_GoBack"/>
      <w:bookmarkEnd w:id="0"/>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 (Vorschlag, dem der Fachkonferenz am 17.5.2011 vorgelegt wurde)</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 xml:space="preserve">Nachdem nun der erste G8er Jahrgang die Einführungsphase fast durchlaufen hat und im sich für das kommende Schuljahr zum ersten Mal deutlich mehr </w:t>
      </w:r>
      <w:proofErr w:type="spellStart"/>
      <w:r w:rsidRPr="000C6FD4">
        <w:rPr>
          <w:rFonts w:ascii="Arial" w:eastAsia="Times New Roman" w:hAnsi="Arial" w:cs="Arial"/>
          <w:color w:val="43474D"/>
          <w:sz w:val="21"/>
          <w:szCs w:val="21"/>
          <w:lang w:eastAsia="de-DE"/>
        </w:rPr>
        <w:t>SuS</w:t>
      </w:r>
      <w:proofErr w:type="spellEnd"/>
      <w:r w:rsidRPr="000C6FD4">
        <w:rPr>
          <w:rFonts w:ascii="Arial" w:eastAsia="Times New Roman" w:hAnsi="Arial" w:cs="Arial"/>
          <w:color w:val="43474D"/>
          <w:sz w:val="21"/>
          <w:szCs w:val="21"/>
          <w:lang w:eastAsia="de-DE"/>
        </w:rPr>
        <w:t xml:space="preserve"> der Realschule (</w:t>
      </w:r>
      <w:proofErr w:type="spellStart"/>
      <w:r w:rsidRPr="000C6FD4">
        <w:rPr>
          <w:rFonts w:ascii="Arial" w:eastAsia="Times New Roman" w:hAnsi="Arial" w:cs="Arial"/>
          <w:color w:val="43474D"/>
          <w:sz w:val="21"/>
          <w:szCs w:val="21"/>
          <w:lang w:eastAsia="de-DE"/>
        </w:rPr>
        <w:t>SuS</w:t>
      </w:r>
      <w:proofErr w:type="spellEnd"/>
      <w:r w:rsidRPr="000C6FD4">
        <w:rPr>
          <w:rFonts w:ascii="Arial" w:eastAsia="Times New Roman" w:hAnsi="Arial" w:cs="Arial"/>
          <w:color w:val="43474D"/>
          <w:sz w:val="21"/>
          <w:szCs w:val="21"/>
          <w:lang w:eastAsia="de-DE"/>
        </w:rPr>
        <w:t>, die G8 umgehen wollen) für die Sekundarstufe II angemeldet haben, erscheint es der Fachschaft Französisch sinnvoll, erste Erfahrungen aus G8 zu evaluieren und in eine Überarbeitung des schulinternen Curriculums für die Einführungsphase einfließen zu lassen.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 xml:space="preserve">Hierfür werden die Teilnehmer der Fachkonferenz (darunter auch zwei </w:t>
      </w:r>
      <w:proofErr w:type="spellStart"/>
      <w:r w:rsidRPr="000C6FD4">
        <w:rPr>
          <w:rFonts w:ascii="Arial" w:eastAsia="Times New Roman" w:hAnsi="Arial" w:cs="Arial"/>
          <w:color w:val="43474D"/>
          <w:sz w:val="21"/>
          <w:szCs w:val="21"/>
          <w:lang w:eastAsia="de-DE"/>
        </w:rPr>
        <w:t>SuS</w:t>
      </w:r>
      <w:proofErr w:type="spellEnd"/>
      <w:r w:rsidRPr="000C6FD4">
        <w:rPr>
          <w:rFonts w:ascii="Arial" w:eastAsia="Times New Roman" w:hAnsi="Arial" w:cs="Arial"/>
          <w:color w:val="43474D"/>
          <w:sz w:val="21"/>
          <w:szCs w:val="21"/>
          <w:lang w:eastAsia="de-DE"/>
        </w:rPr>
        <w:t xml:space="preserve"> der Einführungsphase) gebeten, bis zu den Sommerferien Ergänzungsvorschläge und Rückmeldungen zu geben, damit das überarbeitete Curriculum auf der ersten Fachkonferenz im Schuljahr 2011/12 verabschiedet werden kann.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Allgemein: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Bedingt durch die Zusammenlegung der Kurse Französisch ab Klasse 6 (14 Wochenstunden) und ab Klasse 8 (6 Wochenstunden) zu Beginn der Einführungsphase, dient das erste Halbjahr der Nivellierung der unterschiedlichen Wissensstände und Fähigkeiten.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Ziel der Einführungsphase ist es, die sprachlichen und methodischen Fähigkeiten, die in der Qualifikationsphase gebraucht werden, zu erlernen und ein zu trainieren.</w:t>
      </w:r>
    </w:p>
    <w:p w:rsidR="000C6FD4" w:rsidRPr="000C6FD4" w:rsidRDefault="000C6FD4" w:rsidP="000C6FD4">
      <w:pPr>
        <w:numPr>
          <w:ilvl w:val="0"/>
          <w:numId w:val="1"/>
        </w:numPr>
        <w:spacing w:before="100" w:beforeAutospacing="1" w:after="100" w:afterAutospacing="1" w:line="240" w:lineRule="auto"/>
        <w:ind w:left="-225"/>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Halbjahr</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In Bereichen der Grammatik sollen daher wiederholt werden: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 xml:space="preserve">Si-Satz Gefüge (inkl. der entsprechenden Zeiten, insbesondere Futur simple, </w:t>
      </w:r>
      <w:proofErr w:type="spellStart"/>
      <w:r w:rsidRPr="000C6FD4">
        <w:rPr>
          <w:rFonts w:ascii="Arial" w:eastAsia="Times New Roman" w:hAnsi="Arial" w:cs="Arial"/>
          <w:color w:val="43474D"/>
          <w:sz w:val="21"/>
          <w:szCs w:val="21"/>
          <w:lang w:eastAsia="de-DE"/>
        </w:rPr>
        <w:t>Conditionnel</w:t>
      </w:r>
      <w:proofErr w:type="spellEnd"/>
      <w:r w:rsidRPr="000C6FD4">
        <w:rPr>
          <w:rFonts w:ascii="Arial" w:eastAsia="Times New Roman" w:hAnsi="Arial" w:cs="Arial"/>
          <w:color w:val="43474D"/>
          <w:sz w:val="21"/>
          <w:szCs w:val="21"/>
          <w:lang w:eastAsia="de-DE"/>
        </w:rPr>
        <w:t xml:space="preserve"> I und II) </w:t>
      </w:r>
      <w:proofErr w:type="spellStart"/>
      <w:r w:rsidRPr="000C6FD4">
        <w:rPr>
          <w:rFonts w:ascii="Arial" w:eastAsia="Times New Roman" w:hAnsi="Arial" w:cs="Arial"/>
          <w:color w:val="43474D"/>
          <w:sz w:val="21"/>
          <w:szCs w:val="21"/>
          <w:lang w:eastAsia="de-DE"/>
        </w:rPr>
        <w:t>Subjonctif</w:t>
      </w:r>
      <w:proofErr w:type="spellEnd"/>
    </w:p>
    <w:p w:rsidR="000C6FD4" w:rsidRPr="000C6FD4" w:rsidRDefault="000C6FD4" w:rsidP="000C6FD4">
      <w:pPr>
        <w:spacing w:after="150" w:line="240" w:lineRule="auto"/>
        <w:rPr>
          <w:rFonts w:ascii="Arial" w:eastAsia="Times New Roman" w:hAnsi="Arial" w:cs="Arial"/>
          <w:color w:val="43474D"/>
          <w:sz w:val="21"/>
          <w:szCs w:val="21"/>
          <w:lang w:eastAsia="de-DE"/>
        </w:rPr>
      </w:pPr>
      <w:proofErr w:type="spellStart"/>
      <w:r w:rsidRPr="000C6FD4">
        <w:rPr>
          <w:rFonts w:ascii="Arial" w:eastAsia="Times New Roman" w:hAnsi="Arial" w:cs="Arial"/>
          <w:color w:val="43474D"/>
          <w:sz w:val="21"/>
          <w:szCs w:val="21"/>
          <w:lang w:eastAsia="de-DE"/>
        </w:rPr>
        <w:t>Gérondif</w:t>
      </w:r>
      <w:proofErr w:type="spellEnd"/>
      <w:r w:rsidRPr="000C6FD4">
        <w:rPr>
          <w:rFonts w:ascii="Arial" w:eastAsia="Times New Roman" w:hAnsi="Arial" w:cs="Arial"/>
          <w:color w:val="43474D"/>
          <w:sz w:val="21"/>
          <w:szCs w:val="21"/>
          <w:lang w:eastAsia="de-DE"/>
        </w:rPr>
        <w:t xml:space="preserve"> und </w:t>
      </w:r>
      <w:proofErr w:type="spellStart"/>
      <w:r w:rsidRPr="000C6FD4">
        <w:rPr>
          <w:rFonts w:ascii="Arial" w:eastAsia="Times New Roman" w:hAnsi="Arial" w:cs="Arial"/>
          <w:color w:val="43474D"/>
          <w:sz w:val="21"/>
          <w:szCs w:val="21"/>
          <w:lang w:eastAsia="de-DE"/>
        </w:rPr>
        <w:t>Adjectif</w:t>
      </w:r>
      <w:proofErr w:type="spellEnd"/>
      <w:r w:rsidRPr="000C6FD4">
        <w:rPr>
          <w:rFonts w:ascii="Arial" w:eastAsia="Times New Roman" w:hAnsi="Arial" w:cs="Arial"/>
          <w:color w:val="43474D"/>
          <w:sz w:val="21"/>
          <w:szCs w:val="21"/>
          <w:lang w:eastAsia="de-DE"/>
        </w:rPr>
        <w:t xml:space="preserve"> verbal Passé simple (passive Beherrschung) Passiv und Passiversatz</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 xml:space="preserve">Darüber hinausgehende Lücken sollten in den jeweiligen Lerngruppen natürlich geschlossen werden und dabei die </w:t>
      </w:r>
      <w:proofErr w:type="spellStart"/>
      <w:r w:rsidRPr="000C6FD4">
        <w:rPr>
          <w:rFonts w:ascii="Arial" w:eastAsia="Times New Roman" w:hAnsi="Arial" w:cs="Arial"/>
          <w:color w:val="43474D"/>
          <w:sz w:val="21"/>
          <w:szCs w:val="21"/>
          <w:lang w:eastAsia="de-DE"/>
        </w:rPr>
        <w:t>SuS</w:t>
      </w:r>
      <w:proofErr w:type="spellEnd"/>
      <w:r w:rsidRPr="000C6FD4">
        <w:rPr>
          <w:rFonts w:ascii="Arial" w:eastAsia="Times New Roman" w:hAnsi="Arial" w:cs="Arial"/>
          <w:color w:val="43474D"/>
          <w:sz w:val="21"/>
          <w:szCs w:val="21"/>
          <w:lang w:eastAsia="de-DE"/>
        </w:rPr>
        <w:t xml:space="preserve"> aktiv mit einbeziehen (z.B. durch Referate). </w:t>
      </w:r>
      <w:proofErr w:type="spellStart"/>
      <w:r w:rsidRPr="000C6FD4">
        <w:rPr>
          <w:rFonts w:ascii="Arial" w:eastAsia="Times New Roman" w:hAnsi="Arial" w:cs="Arial"/>
          <w:color w:val="43474D"/>
          <w:sz w:val="21"/>
          <w:szCs w:val="21"/>
          <w:lang w:eastAsia="de-DE"/>
        </w:rPr>
        <w:t>SuS</w:t>
      </w:r>
      <w:proofErr w:type="spellEnd"/>
      <w:r w:rsidRPr="000C6FD4">
        <w:rPr>
          <w:rFonts w:ascii="Arial" w:eastAsia="Times New Roman" w:hAnsi="Arial" w:cs="Arial"/>
          <w:color w:val="43474D"/>
          <w:sz w:val="21"/>
          <w:szCs w:val="21"/>
          <w:lang w:eastAsia="de-DE"/>
        </w:rPr>
        <w:t xml:space="preserve">, die schon vor der </w:t>
      </w:r>
      <w:proofErr w:type="spellStart"/>
      <w:r w:rsidRPr="000C6FD4">
        <w:rPr>
          <w:rFonts w:ascii="Arial" w:eastAsia="Times New Roman" w:hAnsi="Arial" w:cs="Arial"/>
          <w:color w:val="43474D"/>
          <w:sz w:val="21"/>
          <w:szCs w:val="21"/>
          <w:lang w:eastAsia="de-DE"/>
        </w:rPr>
        <w:t>Jgst</w:t>
      </w:r>
      <w:proofErr w:type="spellEnd"/>
      <w:r w:rsidRPr="000C6FD4">
        <w:rPr>
          <w:rFonts w:ascii="Arial" w:eastAsia="Times New Roman" w:hAnsi="Arial" w:cs="Arial"/>
          <w:color w:val="43474D"/>
          <w:sz w:val="21"/>
          <w:szCs w:val="21"/>
          <w:lang w:eastAsia="de-DE"/>
        </w:rPr>
        <w:t>. 10 erkennbare Lücken aufweisen, soll die Teilnahme am zweistündigen Vertiefungskurs nahegelegt werden.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Lexik:</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In Bereichen der Lexik sollte der Schwerpunkt auf Bereichen des Textbesprechungs- und Analysevokabulars liegen, das eine aktive mündliche Mitarbeit ermöglichen soll und das Verfassen von Klausuren erleichtern soll.</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Die Arbeit mit Grundwortschatz-Sammlungen (z.B. Thematischer Grund- und Aufbauwortschatz Französisch, Klett) hat sich bewährt.</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Texte/Methodik zur Herangehensweise:</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Da die Begegnung mit authentischen Texten in Sek. I durch die Lehrbuchsituation eher der Ausnahmefall ist, sollte dies besonders eingeübt werden.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Im ersten Halbjahr bieten sich dafür insbesondere kurze Sachtexte (</w:t>
      </w:r>
      <w:proofErr w:type="spellStart"/>
      <w:r w:rsidRPr="000C6FD4">
        <w:rPr>
          <w:rFonts w:ascii="Arial" w:eastAsia="Times New Roman" w:hAnsi="Arial" w:cs="Arial"/>
          <w:color w:val="43474D"/>
          <w:sz w:val="21"/>
          <w:szCs w:val="21"/>
          <w:lang w:eastAsia="de-DE"/>
        </w:rPr>
        <w:t>Lecture</w:t>
      </w:r>
      <w:proofErr w:type="spellEnd"/>
      <w:r w:rsidRPr="000C6FD4">
        <w:rPr>
          <w:rFonts w:ascii="Arial" w:eastAsia="Times New Roman" w:hAnsi="Arial" w:cs="Arial"/>
          <w:color w:val="43474D"/>
          <w:sz w:val="21"/>
          <w:szCs w:val="21"/>
          <w:lang w:eastAsia="de-DE"/>
        </w:rPr>
        <w:t xml:space="preserve"> de la presse, Lehrbuch) an. Auch Textformen wie Gedicht und Chanson bieten sich aufgrund der Kürze hier gut an.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Ferner sollte der Umgang mit Ganztexten allmählich vorbereitet werden, z.B. durch die Lektüre von Kurzgeschichten (z.B. Petit Nicolas), was darüber hinaus ermöglicht, die in der Oberstufe notwendigen Textgattungen (</w:t>
      </w:r>
      <w:proofErr w:type="spellStart"/>
      <w:r w:rsidRPr="000C6FD4">
        <w:rPr>
          <w:rFonts w:ascii="Arial" w:eastAsia="Times New Roman" w:hAnsi="Arial" w:cs="Arial"/>
          <w:color w:val="43474D"/>
          <w:sz w:val="21"/>
          <w:szCs w:val="21"/>
          <w:lang w:eastAsia="de-DE"/>
        </w:rPr>
        <w:t>résumé</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structuré</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compte</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rendu</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commentaire</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personnel</w:t>
      </w:r>
      <w:proofErr w:type="spellEnd"/>
      <w:r w:rsidRPr="000C6FD4">
        <w:rPr>
          <w:rFonts w:ascii="Arial" w:eastAsia="Times New Roman" w:hAnsi="Arial" w:cs="Arial"/>
          <w:color w:val="43474D"/>
          <w:sz w:val="21"/>
          <w:szCs w:val="21"/>
          <w:lang w:eastAsia="de-DE"/>
        </w:rPr>
        <w:t>) einzuüben und das dafür notwendige Vokabular zu erschließen.</w:t>
      </w:r>
    </w:p>
    <w:p w:rsidR="000C6FD4" w:rsidRPr="000C6FD4" w:rsidRDefault="000C6FD4" w:rsidP="000C6FD4">
      <w:pPr>
        <w:numPr>
          <w:ilvl w:val="0"/>
          <w:numId w:val="2"/>
        </w:numPr>
        <w:spacing w:before="100" w:beforeAutospacing="1" w:after="100" w:afterAutospacing="1" w:line="240" w:lineRule="auto"/>
        <w:ind w:left="-225"/>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lastRenderedPageBreak/>
        <w:t>Halbjahr</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Landeskunde/interkulturelles Lernen:</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Eine Einheit zur Landeskunde ist verpflichtend. Die Themenwahl kann frei, in Absprache mit dem jeweiligen Kurs erfolgen. Die Region „Provence“ sollte jedoch ausgeschlossen werden, da sie derzeit in der Qualifikationsphase vorgesehen ist.</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color w:val="43474D"/>
          <w:sz w:val="21"/>
          <w:szCs w:val="21"/>
          <w:lang w:eastAsia="de-DE"/>
        </w:rPr>
        <w:t xml:space="preserve">Vorschläge: La Lorraine – </w:t>
      </w:r>
      <w:proofErr w:type="spellStart"/>
      <w:r w:rsidRPr="000C6FD4">
        <w:rPr>
          <w:rFonts w:ascii="Arial" w:eastAsia="Times New Roman" w:hAnsi="Arial" w:cs="Arial"/>
          <w:color w:val="43474D"/>
          <w:sz w:val="21"/>
          <w:szCs w:val="21"/>
          <w:lang w:eastAsia="de-DE"/>
        </w:rPr>
        <w:t>une</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région</w:t>
      </w:r>
      <w:proofErr w:type="spellEnd"/>
      <w:r w:rsidRPr="000C6FD4">
        <w:rPr>
          <w:rFonts w:ascii="Arial" w:eastAsia="Times New Roman" w:hAnsi="Arial" w:cs="Arial"/>
          <w:color w:val="43474D"/>
          <w:sz w:val="21"/>
          <w:szCs w:val="21"/>
          <w:lang w:eastAsia="de-DE"/>
        </w:rPr>
        <w:t xml:space="preserve"> </w:t>
      </w:r>
      <w:proofErr w:type="spellStart"/>
      <w:r w:rsidRPr="000C6FD4">
        <w:rPr>
          <w:rFonts w:ascii="Arial" w:eastAsia="Times New Roman" w:hAnsi="Arial" w:cs="Arial"/>
          <w:color w:val="43474D"/>
          <w:sz w:val="21"/>
          <w:szCs w:val="21"/>
          <w:lang w:eastAsia="de-DE"/>
        </w:rPr>
        <w:t>méconnue</w:t>
      </w:r>
      <w:proofErr w:type="spellEnd"/>
      <w:r w:rsidRPr="000C6FD4">
        <w:rPr>
          <w:rFonts w:ascii="Arial" w:eastAsia="Times New Roman" w:hAnsi="Arial" w:cs="Arial"/>
          <w:color w:val="43474D"/>
          <w:sz w:val="21"/>
          <w:szCs w:val="21"/>
          <w:lang w:eastAsia="de-DE"/>
        </w:rPr>
        <w:t xml:space="preserve"> / Le midi / La Bourgogne (evtl. auch eine Region aus der </w:t>
      </w:r>
      <w:proofErr w:type="spellStart"/>
      <w:r w:rsidRPr="000C6FD4">
        <w:rPr>
          <w:rFonts w:ascii="Arial" w:eastAsia="Times New Roman" w:hAnsi="Arial" w:cs="Arial"/>
          <w:color w:val="43474D"/>
          <w:sz w:val="21"/>
          <w:szCs w:val="21"/>
          <w:lang w:eastAsia="de-DE"/>
        </w:rPr>
        <w:t>Francophonie</w:t>
      </w:r>
      <w:proofErr w:type="spellEnd"/>
      <w:r w:rsidRPr="000C6FD4">
        <w:rPr>
          <w:rFonts w:ascii="Arial" w:eastAsia="Times New Roman" w:hAnsi="Arial" w:cs="Arial"/>
          <w:color w:val="43474D"/>
          <w:sz w:val="21"/>
          <w:szCs w:val="21"/>
          <w:lang w:eastAsia="de-DE"/>
        </w:rPr>
        <w:t>: Québec, Maghreb)</w:t>
      </w:r>
    </w:p>
    <w:p w:rsidR="000C6FD4" w:rsidRPr="000C6FD4" w:rsidRDefault="000C6FD4" w:rsidP="000C6FD4">
      <w:pPr>
        <w:spacing w:after="150" w:line="240" w:lineRule="auto"/>
        <w:rPr>
          <w:rFonts w:ascii="Arial" w:eastAsia="Times New Roman" w:hAnsi="Arial" w:cs="Arial"/>
          <w:color w:val="43474D"/>
          <w:sz w:val="21"/>
          <w:szCs w:val="21"/>
          <w:lang w:eastAsia="de-DE"/>
        </w:rPr>
      </w:pPr>
      <w:r w:rsidRPr="000C6FD4">
        <w:rPr>
          <w:rFonts w:ascii="Arial" w:eastAsia="Times New Roman" w:hAnsi="Arial" w:cs="Arial"/>
          <w:b/>
          <w:bCs/>
          <w:color w:val="43474D"/>
          <w:sz w:val="21"/>
          <w:szCs w:val="21"/>
          <w:lang w:eastAsia="de-DE"/>
        </w:rPr>
        <w:t xml:space="preserve">Lektüre einer ersten längeren Ganzschrift (z.B. Eric Emmanuel Schmitt: Monsieur Ibrahim et les </w:t>
      </w:r>
      <w:proofErr w:type="spellStart"/>
      <w:r w:rsidRPr="000C6FD4">
        <w:rPr>
          <w:rFonts w:ascii="Arial" w:eastAsia="Times New Roman" w:hAnsi="Arial" w:cs="Arial"/>
          <w:b/>
          <w:bCs/>
          <w:color w:val="43474D"/>
          <w:sz w:val="21"/>
          <w:szCs w:val="21"/>
          <w:lang w:eastAsia="de-DE"/>
        </w:rPr>
        <w:t>fleurs</w:t>
      </w:r>
      <w:proofErr w:type="spellEnd"/>
      <w:r w:rsidRPr="000C6FD4">
        <w:rPr>
          <w:rFonts w:ascii="Arial" w:eastAsia="Times New Roman" w:hAnsi="Arial" w:cs="Arial"/>
          <w:b/>
          <w:bCs/>
          <w:color w:val="43474D"/>
          <w:sz w:val="21"/>
          <w:szCs w:val="21"/>
          <w:lang w:eastAsia="de-DE"/>
        </w:rPr>
        <w:t xml:space="preserve"> du </w:t>
      </w:r>
      <w:proofErr w:type="spellStart"/>
      <w:r w:rsidRPr="000C6FD4">
        <w:rPr>
          <w:rFonts w:ascii="Arial" w:eastAsia="Times New Roman" w:hAnsi="Arial" w:cs="Arial"/>
          <w:b/>
          <w:bCs/>
          <w:color w:val="43474D"/>
          <w:sz w:val="21"/>
          <w:szCs w:val="21"/>
          <w:lang w:eastAsia="de-DE"/>
        </w:rPr>
        <w:t>Coran</w:t>
      </w:r>
      <w:proofErr w:type="spellEnd"/>
      <w:r w:rsidRPr="000C6FD4">
        <w:rPr>
          <w:rFonts w:ascii="Arial" w:eastAsia="Times New Roman" w:hAnsi="Arial" w:cs="Arial"/>
          <w:b/>
          <w:bCs/>
          <w:color w:val="43474D"/>
          <w:sz w:val="21"/>
          <w:szCs w:val="21"/>
          <w:lang w:eastAsia="de-DE"/>
        </w:rPr>
        <w:t xml:space="preserve"> / Antoine de Saint-Exupéry: Le </w:t>
      </w:r>
      <w:proofErr w:type="spellStart"/>
      <w:r w:rsidRPr="000C6FD4">
        <w:rPr>
          <w:rFonts w:ascii="Arial" w:eastAsia="Times New Roman" w:hAnsi="Arial" w:cs="Arial"/>
          <w:b/>
          <w:bCs/>
          <w:color w:val="43474D"/>
          <w:sz w:val="21"/>
          <w:szCs w:val="21"/>
          <w:lang w:eastAsia="de-DE"/>
        </w:rPr>
        <w:t>petit</w:t>
      </w:r>
      <w:proofErr w:type="spellEnd"/>
      <w:r w:rsidRPr="000C6FD4">
        <w:rPr>
          <w:rFonts w:ascii="Arial" w:eastAsia="Times New Roman" w:hAnsi="Arial" w:cs="Arial"/>
          <w:b/>
          <w:bCs/>
          <w:color w:val="43474D"/>
          <w:sz w:val="21"/>
          <w:szCs w:val="21"/>
          <w:lang w:eastAsia="de-DE"/>
        </w:rPr>
        <w:t xml:space="preserve"> </w:t>
      </w:r>
      <w:proofErr w:type="spellStart"/>
      <w:r w:rsidRPr="000C6FD4">
        <w:rPr>
          <w:rFonts w:ascii="Arial" w:eastAsia="Times New Roman" w:hAnsi="Arial" w:cs="Arial"/>
          <w:b/>
          <w:bCs/>
          <w:color w:val="43474D"/>
          <w:sz w:val="21"/>
          <w:szCs w:val="21"/>
          <w:lang w:eastAsia="de-DE"/>
        </w:rPr>
        <w:t>prince</w:t>
      </w:r>
      <w:proofErr w:type="spellEnd"/>
      <w:r w:rsidRPr="000C6FD4">
        <w:rPr>
          <w:rFonts w:ascii="Arial" w:eastAsia="Times New Roman" w:hAnsi="Arial" w:cs="Arial"/>
          <w:b/>
          <w:bCs/>
          <w:color w:val="43474D"/>
          <w:sz w:val="21"/>
          <w:szCs w:val="21"/>
          <w:lang w:eastAsia="de-DE"/>
        </w:rPr>
        <w:t xml:space="preserve"> / Le </w:t>
      </w:r>
      <w:proofErr w:type="spellStart"/>
      <w:r w:rsidRPr="000C6FD4">
        <w:rPr>
          <w:rFonts w:ascii="Arial" w:eastAsia="Times New Roman" w:hAnsi="Arial" w:cs="Arial"/>
          <w:b/>
          <w:bCs/>
          <w:color w:val="43474D"/>
          <w:sz w:val="21"/>
          <w:szCs w:val="21"/>
          <w:lang w:eastAsia="de-DE"/>
        </w:rPr>
        <w:t>Clézio</w:t>
      </w:r>
      <w:proofErr w:type="spellEnd"/>
      <w:r w:rsidRPr="000C6FD4">
        <w:rPr>
          <w:rFonts w:ascii="Arial" w:eastAsia="Times New Roman" w:hAnsi="Arial" w:cs="Arial"/>
          <w:b/>
          <w:bCs/>
          <w:color w:val="43474D"/>
          <w:sz w:val="21"/>
          <w:szCs w:val="21"/>
          <w:lang w:eastAsia="de-DE"/>
        </w:rPr>
        <w:t xml:space="preserve">: La </w:t>
      </w:r>
      <w:proofErr w:type="spellStart"/>
      <w:r w:rsidRPr="000C6FD4">
        <w:rPr>
          <w:rFonts w:ascii="Arial" w:eastAsia="Times New Roman" w:hAnsi="Arial" w:cs="Arial"/>
          <w:b/>
          <w:bCs/>
          <w:color w:val="43474D"/>
          <w:sz w:val="21"/>
          <w:szCs w:val="21"/>
          <w:lang w:eastAsia="de-DE"/>
        </w:rPr>
        <w:t>grande</w:t>
      </w:r>
      <w:proofErr w:type="spellEnd"/>
      <w:r w:rsidRPr="000C6FD4">
        <w:rPr>
          <w:rFonts w:ascii="Arial" w:eastAsia="Times New Roman" w:hAnsi="Arial" w:cs="Arial"/>
          <w:b/>
          <w:bCs/>
          <w:color w:val="43474D"/>
          <w:sz w:val="21"/>
          <w:szCs w:val="21"/>
          <w:lang w:eastAsia="de-DE"/>
        </w:rPr>
        <w:t xml:space="preserve"> </w:t>
      </w:r>
      <w:proofErr w:type="spellStart"/>
      <w:r w:rsidRPr="000C6FD4">
        <w:rPr>
          <w:rFonts w:ascii="Arial" w:eastAsia="Times New Roman" w:hAnsi="Arial" w:cs="Arial"/>
          <w:b/>
          <w:bCs/>
          <w:color w:val="43474D"/>
          <w:sz w:val="21"/>
          <w:szCs w:val="21"/>
          <w:lang w:eastAsia="de-DE"/>
        </w:rPr>
        <w:t>vie</w:t>
      </w:r>
      <w:proofErr w:type="spellEnd"/>
      <w:r w:rsidRPr="000C6FD4">
        <w:rPr>
          <w:rFonts w:ascii="Arial" w:eastAsia="Times New Roman" w:hAnsi="Arial" w:cs="Arial"/>
          <w:b/>
          <w:bCs/>
          <w:color w:val="43474D"/>
          <w:sz w:val="21"/>
          <w:szCs w:val="21"/>
          <w:lang w:eastAsia="de-DE"/>
        </w:rPr>
        <w:t>)</w:t>
      </w:r>
    </w:p>
    <w:p w:rsidR="00514644" w:rsidRDefault="00514644"/>
    <w:sectPr w:rsidR="00514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583"/>
    <w:multiLevelType w:val="multilevel"/>
    <w:tmpl w:val="4136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A542B"/>
    <w:multiLevelType w:val="multilevel"/>
    <w:tmpl w:val="99587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D4"/>
    <w:rsid w:val="000C6FD4"/>
    <w:rsid w:val="00514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C6FD4"/>
    <w:pPr>
      <w:spacing w:after="300" w:line="240" w:lineRule="auto"/>
      <w:outlineLvl w:val="0"/>
    </w:pPr>
    <w:rPr>
      <w:rFonts w:ascii="inherit" w:eastAsia="Times New Roman" w:hAnsi="inherit" w:cs="Times New Roman"/>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FD4"/>
    <w:rPr>
      <w:rFonts w:ascii="inherit" w:eastAsia="Times New Roman" w:hAnsi="inherit" w:cs="Times New Roman"/>
      <w:kern w:val="36"/>
      <w:sz w:val="48"/>
      <w:szCs w:val="48"/>
      <w:lang w:eastAsia="de-DE"/>
    </w:rPr>
  </w:style>
  <w:style w:type="character" w:styleId="Fett">
    <w:name w:val="Strong"/>
    <w:basedOn w:val="Absatz-Standardschriftart"/>
    <w:uiPriority w:val="22"/>
    <w:qFormat/>
    <w:rsid w:val="000C6FD4"/>
    <w:rPr>
      <w:b/>
      <w:bCs/>
    </w:rPr>
  </w:style>
  <w:style w:type="paragraph" w:styleId="StandardWeb">
    <w:name w:val="Normal (Web)"/>
    <w:basedOn w:val="Standard"/>
    <w:uiPriority w:val="99"/>
    <w:semiHidden/>
    <w:unhideWhenUsed/>
    <w:rsid w:val="000C6FD4"/>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C6FD4"/>
    <w:pPr>
      <w:spacing w:after="300" w:line="240" w:lineRule="auto"/>
      <w:outlineLvl w:val="0"/>
    </w:pPr>
    <w:rPr>
      <w:rFonts w:ascii="inherit" w:eastAsia="Times New Roman" w:hAnsi="inherit" w:cs="Times New Roman"/>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FD4"/>
    <w:rPr>
      <w:rFonts w:ascii="inherit" w:eastAsia="Times New Roman" w:hAnsi="inherit" w:cs="Times New Roman"/>
      <w:kern w:val="36"/>
      <w:sz w:val="48"/>
      <w:szCs w:val="48"/>
      <w:lang w:eastAsia="de-DE"/>
    </w:rPr>
  </w:style>
  <w:style w:type="character" w:styleId="Fett">
    <w:name w:val="Strong"/>
    <w:basedOn w:val="Absatz-Standardschriftart"/>
    <w:uiPriority w:val="22"/>
    <w:qFormat/>
    <w:rsid w:val="000C6FD4"/>
    <w:rPr>
      <w:b/>
      <w:bCs/>
    </w:rPr>
  </w:style>
  <w:style w:type="paragraph" w:styleId="StandardWeb">
    <w:name w:val="Normal (Web)"/>
    <w:basedOn w:val="Standard"/>
    <w:uiPriority w:val="99"/>
    <w:semiHidden/>
    <w:unhideWhenUsed/>
    <w:rsid w:val="000C6FD4"/>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3908">
      <w:bodyDiv w:val="1"/>
      <w:marLeft w:val="0"/>
      <w:marRight w:val="0"/>
      <w:marTop w:val="0"/>
      <w:marBottom w:val="0"/>
      <w:divBdr>
        <w:top w:val="none" w:sz="0" w:space="0" w:color="auto"/>
        <w:left w:val="none" w:sz="0" w:space="0" w:color="auto"/>
        <w:bottom w:val="none" w:sz="0" w:space="0" w:color="auto"/>
        <w:right w:val="none" w:sz="0" w:space="0" w:color="auto"/>
      </w:divBdr>
      <w:divsChild>
        <w:div w:id="2062244578">
          <w:marLeft w:val="0"/>
          <w:marRight w:val="0"/>
          <w:marTop w:val="0"/>
          <w:marBottom w:val="0"/>
          <w:divBdr>
            <w:top w:val="none" w:sz="0" w:space="0" w:color="auto"/>
            <w:left w:val="none" w:sz="0" w:space="0" w:color="auto"/>
            <w:bottom w:val="none" w:sz="0" w:space="0" w:color="auto"/>
            <w:right w:val="none" w:sz="0" w:space="0" w:color="auto"/>
          </w:divBdr>
          <w:divsChild>
            <w:div w:id="306597446">
              <w:marLeft w:val="0"/>
              <w:marRight w:val="0"/>
              <w:marTop w:val="0"/>
              <w:marBottom w:val="0"/>
              <w:divBdr>
                <w:top w:val="none" w:sz="0" w:space="0" w:color="auto"/>
                <w:left w:val="none" w:sz="0" w:space="0" w:color="auto"/>
                <w:bottom w:val="none" w:sz="0" w:space="0" w:color="auto"/>
                <w:right w:val="none" w:sz="0" w:space="0" w:color="auto"/>
              </w:divBdr>
              <w:divsChild>
                <w:div w:id="1033073295">
                  <w:marLeft w:val="0"/>
                  <w:marRight w:val="0"/>
                  <w:marTop w:val="0"/>
                  <w:marBottom w:val="0"/>
                  <w:divBdr>
                    <w:top w:val="none" w:sz="0" w:space="0" w:color="auto"/>
                    <w:left w:val="none" w:sz="0" w:space="0" w:color="auto"/>
                    <w:bottom w:val="none" w:sz="0" w:space="0" w:color="auto"/>
                    <w:right w:val="none" w:sz="0" w:space="0" w:color="auto"/>
                  </w:divBdr>
                  <w:divsChild>
                    <w:div w:id="264115353">
                      <w:marLeft w:val="-225"/>
                      <w:marRight w:val="-225"/>
                      <w:marTop w:val="0"/>
                      <w:marBottom w:val="0"/>
                      <w:divBdr>
                        <w:top w:val="none" w:sz="0" w:space="0" w:color="auto"/>
                        <w:left w:val="none" w:sz="0" w:space="0" w:color="auto"/>
                        <w:bottom w:val="none" w:sz="0" w:space="0" w:color="auto"/>
                        <w:right w:val="none" w:sz="0" w:space="0" w:color="auto"/>
                      </w:divBdr>
                      <w:divsChild>
                        <w:div w:id="1365331583">
                          <w:marLeft w:val="0"/>
                          <w:marRight w:val="0"/>
                          <w:marTop w:val="0"/>
                          <w:marBottom w:val="0"/>
                          <w:divBdr>
                            <w:top w:val="none" w:sz="0" w:space="0" w:color="auto"/>
                            <w:left w:val="none" w:sz="0" w:space="0" w:color="auto"/>
                            <w:bottom w:val="none" w:sz="0" w:space="0" w:color="auto"/>
                            <w:right w:val="none" w:sz="0" w:space="0" w:color="auto"/>
                          </w:divBdr>
                          <w:divsChild>
                            <w:div w:id="1097023484">
                              <w:marLeft w:val="0"/>
                              <w:marRight w:val="0"/>
                              <w:marTop w:val="0"/>
                              <w:marBottom w:val="0"/>
                              <w:divBdr>
                                <w:top w:val="none" w:sz="0" w:space="0" w:color="auto"/>
                                <w:left w:val="none" w:sz="0" w:space="0" w:color="auto"/>
                                <w:bottom w:val="none" w:sz="0" w:space="0" w:color="auto"/>
                                <w:right w:val="none" w:sz="0" w:space="0" w:color="auto"/>
                              </w:divBdr>
                              <w:divsChild>
                                <w:div w:id="14026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bin1</dc:creator>
  <cp:lastModifiedBy>bin1</cp:lastModifiedBy>
  <cp:revision>1</cp:revision>
  <dcterms:created xsi:type="dcterms:W3CDTF">2015-10-21T06:54:00Z</dcterms:created>
  <dcterms:modified xsi:type="dcterms:W3CDTF">2015-10-21T06:55:00Z</dcterms:modified>
</cp:coreProperties>
</file>